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贵阳城投与中铁置业签约 将围绕合作地块谋划</w:t>
      </w:r>
    </w:p>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优质项目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腾讯网</w:t>
      </w:r>
    </w:p>
    <w:p>
      <w:pPr>
        <w:pStyle w:val="10"/>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8月4日，“爽爽贵阳 品质生活”贵阳市优质资产招商推介会在深圳举行。贵阳城投集团与中铁置业集团现场签约。</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中铁置业作为中国中铁股份有限公司的全资子公司，在房地产开发与经营，建筑工程施工，市政工程等业务范围技术领先、实力雄厚。贵阳城投集团为贵阳市国有独资企业，总资产约1500亿元，是贵阳资产规模最大的国有企业之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此次签约，双方将充分整合优势资源、深挖合作潜力，围绕合作地块谋划优质项目，助力贵阳市地产行业发展，改善人居环境。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推介会上，贵阳城投集团向在深投资商、金融机构、企业家等推介了集团优质房产和土地资源。重点推介了贵阳城投·隐翠、贵阳城投·叠翠及云岩林悦等避暑类地产项目和集团储备的优质地块资源。</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今年以来，贵阳城投推介了贵阳城投毓秀项目、南溪项目、中兴西路项目、融翠项目、叠翠项目、璟翠项目共6个地产类项目，这些项目中有3个已经启动招标工作。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pStyle w:val="3"/>
        <w:rPr>
          <w:rFonts w:hint="eastAsia" w:ascii="宋体" w:hAnsi="宋体" w:eastAsia="宋体" w:cs="宋体"/>
          <w:snapToGrid w:val="0"/>
          <w:color w:val="000000"/>
          <w:kern w:val="0"/>
          <w:sz w:val="24"/>
          <w:szCs w:val="24"/>
          <w:lang w:val="en-US" w:eastAsia="zh-CN" w:bidi="ar-SA"/>
        </w:rPr>
      </w:pPr>
    </w:p>
    <w:p>
      <w:pPr>
        <w:pStyle w:val="4"/>
        <w:rPr>
          <w:rFonts w:hint="eastAsia" w:ascii="宋体" w:hAnsi="宋体" w:eastAsia="宋体" w:cs="宋体"/>
          <w:snapToGrid w:val="0"/>
          <w:color w:val="000000"/>
          <w:kern w:val="0"/>
          <w:sz w:val="24"/>
          <w:szCs w:val="24"/>
          <w:lang w:val="en-US" w:eastAsia="zh-CN" w:bidi="ar-SA"/>
        </w:rPr>
      </w:pPr>
    </w:p>
    <w:p>
      <w:pPr>
        <w:rPr>
          <w:rFonts w:hint="eastAsia" w:ascii="宋体" w:hAnsi="宋体" w:eastAsia="宋体" w:cs="宋体"/>
          <w:snapToGrid w:val="0"/>
          <w:color w:val="000000"/>
          <w:kern w:val="0"/>
          <w:sz w:val="24"/>
          <w:szCs w:val="24"/>
          <w:lang w:val="en-US" w:eastAsia="zh-CN" w:bidi="ar-SA"/>
        </w:rPr>
      </w:pPr>
    </w:p>
    <w:p>
      <w:pPr>
        <w:pStyle w:val="2"/>
        <w:rPr>
          <w:rFonts w:hint="eastAsia" w:ascii="宋体" w:hAnsi="宋体" w:eastAsia="宋体" w:cs="宋体"/>
          <w:snapToGrid w:val="0"/>
          <w:color w:val="000000"/>
          <w:kern w:val="0"/>
          <w:sz w:val="24"/>
          <w:szCs w:val="24"/>
          <w:lang w:val="en-US" w:eastAsia="zh-CN" w:bidi="ar-SA"/>
        </w:rPr>
      </w:pPr>
    </w:p>
    <w:p>
      <w:pPr>
        <w:pStyle w:val="3"/>
        <w:rPr>
          <w:rFonts w:hint="eastAsia" w:ascii="宋体" w:hAnsi="宋体" w:eastAsia="宋体" w:cs="宋体"/>
          <w:snapToGrid w:val="0"/>
          <w:color w:val="000000"/>
          <w:kern w:val="0"/>
          <w:sz w:val="24"/>
          <w:szCs w:val="24"/>
          <w:lang w:val="en-US" w:eastAsia="zh-CN" w:bidi="ar-SA"/>
        </w:rPr>
      </w:pPr>
    </w:p>
    <w:p>
      <w:pPr>
        <w:pStyle w:val="4"/>
        <w:rPr>
          <w:rFonts w:hint="eastAsia"/>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spacing w:val="-11"/>
          <w:kern w:val="0"/>
          <w:sz w:val="36"/>
          <w:szCs w:val="36"/>
          <w:shd w:val="clear" w:color="auto" w:fill="FFFFFF"/>
          <w:lang w:val="en-US" w:eastAsia="zh-CN" w:bidi="ar-SA"/>
        </w:rPr>
      </w:pPr>
      <w:r>
        <w:rPr>
          <w:rFonts w:hint="eastAsia" w:ascii="宋体" w:hAnsi="宋体" w:eastAsiaTheme="minorEastAsia" w:cstheme="minorBidi"/>
          <w:b/>
          <w:snapToGrid w:val="0"/>
          <w:color w:val="FF0000"/>
          <w:spacing w:val="-11"/>
          <w:kern w:val="0"/>
          <w:sz w:val="36"/>
          <w:szCs w:val="36"/>
          <w:shd w:val="clear" w:color="auto" w:fill="FFFFFF"/>
          <w:lang w:val="en-US" w:eastAsia="zh-CN" w:bidi="ar-SA"/>
        </w:rPr>
        <w:t xml:space="preserve">天津城投集团资管公司与喜营商管公司达成战略合作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spacing w:val="-11"/>
          <w:kern w:val="0"/>
          <w:sz w:val="36"/>
          <w:szCs w:val="36"/>
          <w:shd w:val="clear" w:color="auto" w:fill="FFFFFF"/>
          <w:lang w:val="en-US" w:eastAsia="zh-CN" w:bidi="ar-SA"/>
        </w:rPr>
        <w:t>共谱文旅融合新篇章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学习强国</w:t>
      </w: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日前，天津城市基础设施建设投资集团有限公司（以下简称：城投集团）所属资管公司与喜营（天津）商管公司战略合作签约仪式在国图·津湾成功举办。会上，澳门喜营集团所属喜营（天津）商业管理有限公司董事长蔡文政同城投集团资管公司党总支书记、董事长李斌共同签署了《战略合作框架协议》。市委统战部副部长林洁，和平区政协副主席李大庆，城投集团党委书记、董事长赵鹏以及经济日报等媒体代表共聚一堂，见证签约仪式。</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澳门喜营集团在文化、休闲、娱乐、饮食、零售、商业招商、活动引流、宣传推广等方面具有综合优势。喜营（天津）商管公司作为其在津全新子公司，将依托自有平台优势，与资管公司强强联合，借助双方的丰富资源和多维度创收引擎定制化打造强引流产品，进一步提升津湾广场及周边经济效益，将津湾广场打造成为全国靓丽的旅游品牌。</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市委统战部及和平区政协领导的积极引荐和支持下，城投集团资管公司与喜营（天津）商管公司双方主要领导已在会前就津湾广场提级相关事宜进行了多轮深入交流，在共同策划打造津湾文旅商业场景方面达成了深度共识。此次签约标志着双方将携手就打造津湾广场“夜津城”场景品牌、释放消费潜力、提升城市活力魅力等方面开展更为深入合作，共同探索创新发展模式，实现互利共赢。</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下一步，资管公司将聚焦“经营城市资源”职责定位，充分发挥地缘优势，秉承“优势互补、互惠互利、长期合作、共同发展”的原则，合作探索新时代下多元化的创新商业运营模式，全力投身“三量”任务、坚持贯彻“四有”要求、围绕“三化”产业发展方向，积极推动海河沿线文旅资源整合联动，以天津文旅市场加速复苏为契机，深入贯彻落实市委主要领导调研城投集团及津湾时提出的指示要求，不断提升企业的竞争力、创新力和影响力，为加快推动集团“六个专项行动”落地见效注入新的活力，为天津高质量打造“四宜”城市、建设国际消费中心城市贡献更大力量。</w:t>
      </w:r>
      <w:bookmarkStart w:id="0" w:name="_GoBack"/>
      <w:bookmarkEnd w:id="0"/>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5824" w:firstLineChars="2427"/>
        <w:jc w:val="both"/>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8</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0E4F1D"/>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3D7078A2"/>
    <w:rsid w:val="4247545C"/>
    <w:rsid w:val="42D84824"/>
    <w:rsid w:val="43215475"/>
    <w:rsid w:val="441A3D4C"/>
    <w:rsid w:val="44B66D25"/>
    <w:rsid w:val="44FD6564"/>
    <w:rsid w:val="467D421D"/>
    <w:rsid w:val="480B25EE"/>
    <w:rsid w:val="4890330D"/>
    <w:rsid w:val="48D21008"/>
    <w:rsid w:val="4CEB02D2"/>
    <w:rsid w:val="4D227684"/>
    <w:rsid w:val="4D392193"/>
    <w:rsid w:val="4F1E5B63"/>
    <w:rsid w:val="53410626"/>
    <w:rsid w:val="53730655"/>
    <w:rsid w:val="54D61B74"/>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4C47FD"/>
    <w:rsid w:val="6CE1567F"/>
    <w:rsid w:val="6D3D22B1"/>
    <w:rsid w:val="6D84762F"/>
    <w:rsid w:val="70594F33"/>
    <w:rsid w:val="713016CA"/>
    <w:rsid w:val="71436B5E"/>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7">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rPr>
  </w:style>
  <w:style w:type="paragraph" w:styleId="3">
    <w:name w:val="Body Text"/>
    <w:basedOn w:val="1"/>
    <w:next w:val="4"/>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4">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Normal Indent"/>
    <w:basedOn w:val="1"/>
    <w:next w:val="1"/>
    <w:qFormat/>
    <w:uiPriority w:val="0"/>
    <w:pPr>
      <w:ind w:firstLine="964" w:firstLineChars="200"/>
    </w:pPr>
    <w:rPr>
      <w:sz w:val="28"/>
    </w:rPr>
  </w:style>
  <w:style w:type="paragraph" w:styleId="9">
    <w:name w:val="Body Text Indent"/>
    <w:basedOn w:val="1"/>
    <w:next w:val="10"/>
    <w:qFormat/>
    <w:uiPriority w:val="0"/>
    <w:pPr>
      <w:ind w:left="420" w:leftChars="200"/>
    </w:pPr>
    <w:rPr>
      <w:kern w:val="2"/>
      <w:sz w:val="21"/>
      <w:szCs w:val="24"/>
    </w:rPr>
  </w:style>
  <w:style w:type="paragraph" w:styleId="10">
    <w:name w:val="Body Text First Indent 2"/>
    <w:basedOn w:val="9"/>
    <w:next w:val="1"/>
    <w:qFormat/>
    <w:uiPriority w:val="0"/>
    <w:pPr>
      <w:widowControl w:val="0"/>
      <w:ind w:firstLine="420"/>
      <w:jc w:val="both"/>
    </w:pPr>
    <w:rPr>
      <w:kern w:val="2"/>
      <w:sz w:val="21"/>
      <w:szCs w:val="24"/>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6">
    <w:name w:val="样式4"/>
    <w:basedOn w:val="11"/>
    <w:next w:val="11"/>
    <w:qFormat/>
    <w:uiPriority w:val="0"/>
    <w:pPr>
      <w:spacing w:line="500" w:lineRule="exact"/>
      <w:ind w:firstLine="200" w:firstLineChars="200"/>
    </w:pPr>
    <w:rPr>
      <w:rFonts w:cs="Courier New"/>
      <w:b/>
      <w:color w:val="FF0000"/>
      <w:spacing w:val="-6"/>
      <w:kern w:val="0"/>
      <w:sz w:val="30"/>
      <w:szCs w:val="30"/>
    </w:rPr>
  </w:style>
  <w:style w:type="character" w:customStyle="1" w:styleId="27">
    <w:name w:val="bds_more"/>
    <w:basedOn w:val="17"/>
    <w:qFormat/>
    <w:uiPriority w:val="0"/>
  </w:style>
  <w:style w:type="character" w:customStyle="1" w:styleId="28">
    <w:name w:val="bds_nopic"/>
    <w:basedOn w:val="17"/>
    <w:qFormat/>
    <w:uiPriority w:val="0"/>
  </w:style>
  <w:style w:type="character" w:customStyle="1" w:styleId="29">
    <w:name w:val="bds_nopic1"/>
    <w:basedOn w:val="17"/>
    <w:qFormat/>
    <w:uiPriority w:val="0"/>
  </w:style>
  <w:style w:type="character" w:customStyle="1" w:styleId="30">
    <w:name w:val="bds_nopic2"/>
    <w:basedOn w:val="17"/>
    <w:qFormat/>
    <w:uiPriority w:val="0"/>
  </w:style>
  <w:style w:type="character" w:customStyle="1" w:styleId="31">
    <w:name w:val="current"/>
    <w:basedOn w:val="17"/>
    <w:qFormat/>
    <w:uiPriority w:val="0"/>
    <w:rPr>
      <w:b/>
      <w:color w:val="666666"/>
      <w:bdr w:val="single" w:color="E0E0E0" w:sz="6" w:space="0"/>
      <w:shd w:val="clear" w:fill="F0F0F0"/>
    </w:rPr>
  </w:style>
  <w:style w:type="character" w:customStyle="1" w:styleId="32">
    <w:name w:val="disabled"/>
    <w:basedOn w:val="17"/>
    <w:qFormat/>
    <w:uiPriority w:val="0"/>
    <w:rPr>
      <w:color w:val="CCCCCC"/>
      <w:bdr w:val="single" w:color="DBDADA" w:sz="6" w:space="0"/>
    </w:rPr>
  </w:style>
  <w:style w:type="character" w:customStyle="1" w:styleId="33">
    <w:name w:val="tab_active"/>
    <w:basedOn w:val="17"/>
    <w:qFormat/>
    <w:uiPriority w:val="0"/>
    <w:rPr>
      <w:color w:val="666666"/>
    </w:rPr>
  </w:style>
  <w:style w:type="character" w:customStyle="1" w:styleId="34">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0</TotalTime>
  <ScaleCrop>false</ScaleCrop>
  <LinksUpToDate>false</LinksUpToDate>
  <CharactersWithSpaces>1791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cp:lastModifiedBy>
  <dcterms:modified xsi:type="dcterms:W3CDTF">2023-11-21T01:35:36Z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94D68A1A2BAA4D88B8E1D5E94F87C7FD</vt:lpwstr>
  </property>
</Properties>
</file>