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哈尔滨杭州两地城投集团合作设立产业基金</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投资界</w:t>
      </w:r>
      <w:bookmarkStart w:id="0" w:name="_GoBack"/>
      <w:bookmarkEnd w:id="0"/>
    </w:p>
    <w:p>
      <w:pPr>
        <w:pStyle w:val="10"/>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6 月 16 日，哈尔滨市城投集团与杭州市城投集团在友谊宫举行战略合作签约仪式，双方通过设立产业基金，重点围绕新能源、智慧城市、高端装备、新材料等战略新兴产业进行投资，助力建设 " 六个龙江 "、打造 " 七大都市 "，为东北区域经济社会高质量发展发挥更多国企作用、作出更多城投合作贡献。</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哈尔滨市城投集团成立十九年来，始终致力于服务城市发展，为改善城市环境面貌、提升城市功能品质、提升城市基础设施承载能力等作出了积极贡献，为推动哈尔滨城市发展提供了有力支撑，目前已经成为哈尔滨市承载资产规模最大的国有企业集团，资产总规模位列全国城投公司前十名。当前，哈尔滨市城投集团立足高质量发展，紧紧围绕打造 " 七大都市 " 奋斗目标，全面发挥国企作用，持续深化改革，主动开辟新赛道，积极探索新模式，不断提升服务市委、市政府决策部署和服务市场、创造市场 " 两大能力 "，努力为哈尔滨城市建设高质量发展、实现万亿 GDP 目标提供坚强支撑。</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杭州市城投集团此次应哈尔滨市城投集团邀请前来参加哈洽会，在前期沟通的基础上，对哈尔滨的经济社会发展做了进一步了解，对双方在城市投资、生产运营、资金运作、项目建设等方面的战略合作前景充满信心。</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签约仪式上，双方表示作为国有大型企业，一南一北成功签约意义重大，基于企业发展理念和方向的高度共识，双方将以此次设立产业基金作为新起点，在共同关注的领域深入开展全方位、多维度的合作，努力成为国企强强联手共创未来的新典范，承担起国企的历史使命和社会责任，加速推动城市现代化建设再上新台阶、展现出新面貌。</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上海市政协委员蒋曙杰：上海城投将咬住节点目标 力争实现645亿元全年投资目标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cs="宋体" w:eastAsiaTheme="minorEastAsia"/>
          <w:snapToGrid w:val="0"/>
          <w:color w:val="000000"/>
          <w:kern w:val="0"/>
          <w:sz w:val="24"/>
          <w:szCs w:val="24"/>
          <w:lang w:val="en-US" w:eastAsia="zh-CN" w:bidi="ar-SA"/>
        </w:rPr>
        <w:t>来源：新华网</w:t>
      </w:r>
    </w:p>
    <w:p>
      <w:pPr>
        <w:pStyle w:val="13"/>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刚开年，上海紧盯新业态、新赛道和民生改善，持续推进重大项目落地、高端产业布局，以项目建设之“进”支撑经济发展之“稳”。</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1月11日，上海市第十六届人大一次会议开幕。围绕2023年重点工作，上海市政府工作报告提出，上海将持续推进重大工程建设，全年完成投资2150亿元。</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上海市政协委员，上海城投集团党委书记、董事长蒋曙杰说：“报告内容充分体现了上海着力推进高质量发展，既鼓舞人心，又提振士气。作为城市建设的主力军，确保重大工程建设是城投的主责主业，2023年，上海城投将坚持稳中求进，发力扩内需，咬住目标节点，力争实现645亿元的全年投资目标。”</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介绍，2023年，上海城投集团将积极发挥重大工程投资拉动作用，确保北横通道东段、S3公路主线工程等30余项工程按期建成，全力争取G15嘉金段、S16蕰川高速等40余项工程按期开工，加快推动大芦线航道东延伸、生物能源再利用三期等一批重大工程，持续发挥重大项目的牵引带动作用。</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同时，上海城投集团将着力提高城市供水保障能力和韧性，开工建设原水西环线等一批系统性原水保障工程，以2024年完成水厂深度处理改造为目标，全力实现闸北水厂、居家桥水厂改建等工程上半年开工，持续推进杨树浦水厂、长桥水厂等一批水厂深度处理改造，让上海市民喝上品质更高、口感更佳的饮用水。</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蒋曙杰表示，2023年，上海城投集团还将进一步加强项目储备、加快推进前期工作，提升项目谋划储备质量和落地转化率，充分发挥重大工程建设推动经济社会发展的助推器和压舱石作用，积极为推动经济恢复重振做出贡献。</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eastAsia="宋体" w:cs="宋体"/>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2023</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6</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MTA1MTI0ZTQ0MjQxMzQ0YWM2OGRkNjFlMzNiOGQifQ=="/>
  </w:docVars>
  <w:rsids>
    <w:rsidRoot w:val="135711B6"/>
    <w:rsid w:val="01B34423"/>
    <w:rsid w:val="02E9239D"/>
    <w:rsid w:val="03802FAA"/>
    <w:rsid w:val="05605221"/>
    <w:rsid w:val="07183EFD"/>
    <w:rsid w:val="08CE3340"/>
    <w:rsid w:val="0B49215B"/>
    <w:rsid w:val="0C1510B5"/>
    <w:rsid w:val="0C323478"/>
    <w:rsid w:val="0C8B726C"/>
    <w:rsid w:val="0CCF11AA"/>
    <w:rsid w:val="0D3D3AF9"/>
    <w:rsid w:val="0D701297"/>
    <w:rsid w:val="0DA44F1F"/>
    <w:rsid w:val="0E3837D3"/>
    <w:rsid w:val="106814C6"/>
    <w:rsid w:val="10C90ABD"/>
    <w:rsid w:val="11242915"/>
    <w:rsid w:val="11B2016B"/>
    <w:rsid w:val="11B25936"/>
    <w:rsid w:val="11C26D1D"/>
    <w:rsid w:val="135711B6"/>
    <w:rsid w:val="14F93A27"/>
    <w:rsid w:val="150220D3"/>
    <w:rsid w:val="17E65176"/>
    <w:rsid w:val="1A864608"/>
    <w:rsid w:val="1C077BB4"/>
    <w:rsid w:val="1D644D34"/>
    <w:rsid w:val="1D9F067F"/>
    <w:rsid w:val="1E8C2F5B"/>
    <w:rsid w:val="1FA10BF3"/>
    <w:rsid w:val="21AF5AE2"/>
    <w:rsid w:val="21D167FF"/>
    <w:rsid w:val="21E343D1"/>
    <w:rsid w:val="221678A0"/>
    <w:rsid w:val="22593A46"/>
    <w:rsid w:val="24093C83"/>
    <w:rsid w:val="25140E91"/>
    <w:rsid w:val="2661183B"/>
    <w:rsid w:val="26D66E8E"/>
    <w:rsid w:val="286859B9"/>
    <w:rsid w:val="298433C2"/>
    <w:rsid w:val="29894E55"/>
    <w:rsid w:val="2B4E6124"/>
    <w:rsid w:val="2BC96687"/>
    <w:rsid w:val="2C0E4F1D"/>
    <w:rsid w:val="2CC17CB9"/>
    <w:rsid w:val="2DBD30F1"/>
    <w:rsid w:val="2DCF4E54"/>
    <w:rsid w:val="2DF16AF6"/>
    <w:rsid w:val="2DFB280F"/>
    <w:rsid w:val="2ECA5F7D"/>
    <w:rsid w:val="2F1D4CC3"/>
    <w:rsid w:val="30253624"/>
    <w:rsid w:val="32E50573"/>
    <w:rsid w:val="33DA324C"/>
    <w:rsid w:val="351D0E15"/>
    <w:rsid w:val="364879E2"/>
    <w:rsid w:val="3773053B"/>
    <w:rsid w:val="37B874E3"/>
    <w:rsid w:val="387E2BC0"/>
    <w:rsid w:val="39A11954"/>
    <w:rsid w:val="3AD010DD"/>
    <w:rsid w:val="3CEB33CD"/>
    <w:rsid w:val="3D7078A2"/>
    <w:rsid w:val="4247545C"/>
    <w:rsid w:val="42D84824"/>
    <w:rsid w:val="43215475"/>
    <w:rsid w:val="441A3D4C"/>
    <w:rsid w:val="44FD6564"/>
    <w:rsid w:val="467D421D"/>
    <w:rsid w:val="480B25EE"/>
    <w:rsid w:val="4890330D"/>
    <w:rsid w:val="48D21008"/>
    <w:rsid w:val="4CEB02D2"/>
    <w:rsid w:val="4D227684"/>
    <w:rsid w:val="4D392193"/>
    <w:rsid w:val="53410626"/>
    <w:rsid w:val="53730655"/>
    <w:rsid w:val="54D61B74"/>
    <w:rsid w:val="54F17583"/>
    <w:rsid w:val="55B1257D"/>
    <w:rsid w:val="55C004DD"/>
    <w:rsid w:val="5A30331E"/>
    <w:rsid w:val="5B951F4C"/>
    <w:rsid w:val="5E0D378B"/>
    <w:rsid w:val="5EBB0E8D"/>
    <w:rsid w:val="5F1E5AC5"/>
    <w:rsid w:val="602C7E0F"/>
    <w:rsid w:val="60C01E77"/>
    <w:rsid w:val="61140174"/>
    <w:rsid w:val="63DE67DB"/>
    <w:rsid w:val="64CF6463"/>
    <w:rsid w:val="678E1AC9"/>
    <w:rsid w:val="69DD0A53"/>
    <w:rsid w:val="6CE1567F"/>
    <w:rsid w:val="6D3D22B1"/>
    <w:rsid w:val="6D84762F"/>
    <w:rsid w:val="70594F33"/>
    <w:rsid w:val="713016CA"/>
    <w:rsid w:val="71436B5E"/>
    <w:rsid w:val="72662AEE"/>
    <w:rsid w:val="72AB6650"/>
    <w:rsid w:val="72C82FFA"/>
    <w:rsid w:val="7416122C"/>
    <w:rsid w:val="74DC1FA4"/>
    <w:rsid w:val="74ED1E7C"/>
    <w:rsid w:val="767203B6"/>
    <w:rsid w:val="77436B61"/>
    <w:rsid w:val="782A0984"/>
    <w:rsid w:val="783E0425"/>
    <w:rsid w:val="784407BB"/>
    <w:rsid w:val="78C228B5"/>
    <w:rsid w:val="7B4847A8"/>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keepNext/>
      <w:keepLines/>
      <w:spacing w:before="260" w:beforeLines="0" w:after="260" w:afterLines="0" w:line="416" w:lineRule="auto"/>
      <w:outlineLvl w:val="2"/>
    </w:pPr>
    <w:rPr>
      <w:rFonts w:ascii="宋体" w:hAnsi="宋体" w:cs="宋体"/>
      <w:b/>
      <w:bCs/>
      <w:sz w:val="32"/>
      <w:szCs w:val="32"/>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6">
    <w:name w:val="Normal Indent"/>
    <w:basedOn w:val="1"/>
    <w:next w:val="1"/>
    <w:qFormat/>
    <w:uiPriority w:val="0"/>
    <w:pPr>
      <w:ind w:firstLine="964" w:firstLineChars="200"/>
    </w:pPr>
    <w:rPr>
      <w:sz w:val="28"/>
    </w:rPr>
  </w:style>
  <w:style w:type="paragraph" w:styleId="7">
    <w:name w:val="Body Text"/>
    <w:basedOn w:val="1"/>
    <w:next w:val="8"/>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8">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9">
    <w:name w:val="Body Text Indent"/>
    <w:basedOn w:val="1"/>
    <w:next w:val="10"/>
    <w:qFormat/>
    <w:uiPriority w:val="0"/>
    <w:pPr>
      <w:ind w:left="420" w:leftChars="200"/>
    </w:pPr>
    <w:rPr>
      <w:kern w:val="2"/>
      <w:sz w:val="21"/>
      <w:szCs w:val="24"/>
    </w:rPr>
  </w:style>
  <w:style w:type="paragraph" w:styleId="10">
    <w:name w:val="Body Text First Indent 2"/>
    <w:basedOn w:val="9"/>
    <w:next w:val="1"/>
    <w:qFormat/>
    <w:uiPriority w:val="0"/>
    <w:pPr>
      <w:widowControl w:val="0"/>
      <w:ind w:firstLine="420"/>
      <w:jc w:val="both"/>
    </w:pPr>
    <w:rPr>
      <w:kern w:val="2"/>
      <w:sz w:val="21"/>
      <w:szCs w:val="24"/>
    </w:rPr>
  </w:style>
  <w:style w:type="paragraph" w:styleId="11">
    <w:name w:val="Plain Text"/>
    <w:basedOn w:val="1"/>
    <w:qFormat/>
    <w:uiPriority w:val="0"/>
    <w:rPr>
      <w:rFonts w:ascii="宋体" w:hAnsi="Courier New" w:cs="Courier New"/>
      <w:szCs w:val="21"/>
    </w:rPr>
  </w:style>
  <w:style w:type="paragraph" w:styleId="1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page number"/>
    <w:basedOn w:val="17"/>
    <w:qFormat/>
    <w:uiPriority w:val="0"/>
  </w:style>
  <w:style w:type="character" w:styleId="20">
    <w:name w:val="FollowedHyperlink"/>
    <w:basedOn w:val="17"/>
    <w:qFormat/>
    <w:uiPriority w:val="0"/>
    <w:rPr>
      <w:rFonts w:hint="eastAsia" w:ascii="宋体" w:hAnsi="宋体" w:eastAsia="宋体" w:cs="宋体"/>
      <w:color w:val="333333"/>
      <w:u w:val="none"/>
    </w:rPr>
  </w:style>
  <w:style w:type="character" w:styleId="21">
    <w:name w:val="Emphasis"/>
    <w:basedOn w:val="17"/>
    <w:qFormat/>
    <w:uiPriority w:val="0"/>
    <w:rPr>
      <w:i/>
    </w:rPr>
  </w:style>
  <w:style w:type="character" w:styleId="22">
    <w:name w:val="Hyperlink"/>
    <w:basedOn w:val="17"/>
    <w:qFormat/>
    <w:uiPriority w:val="0"/>
    <w:rPr>
      <w:rFonts w:hint="eastAsia" w:ascii="宋体" w:hAnsi="宋体" w:eastAsia="宋体" w:cs="宋体"/>
      <w:color w:val="333333"/>
      <w:u w:val="none"/>
    </w:rPr>
  </w:style>
  <w:style w:type="character" w:styleId="23">
    <w:name w:val="HTML Code"/>
    <w:basedOn w:val="17"/>
    <w:qFormat/>
    <w:uiPriority w:val="0"/>
    <w:rPr>
      <w:rFonts w:ascii="Courier New" w:hAnsi="Courier New"/>
      <w:sz w:val="20"/>
    </w:rPr>
  </w:style>
  <w:style w:type="character" w:styleId="24">
    <w:name w:val="HTML Cite"/>
    <w:basedOn w:val="17"/>
    <w:qFormat/>
    <w:uiPriority w:val="0"/>
    <w:rPr>
      <w:i/>
    </w:rPr>
  </w:style>
  <w:style w:type="paragraph" w:customStyle="1" w:styleId="25">
    <w:name w:val="Heading2"/>
    <w:basedOn w:val="1"/>
    <w:next w:val="1"/>
    <w:qFormat/>
    <w:uiPriority w:val="0"/>
    <w:pPr>
      <w:keepNext/>
      <w:keepLines/>
      <w:jc w:val="both"/>
      <w:textAlignment w:val="baseline"/>
    </w:pPr>
    <w:rPr>
      <w:rFonts w:ascii="黑体" w:hAnsi="黑体" w:eastAsia="黑体"/>
      <w:kern w:val="2"/>
      <w:sz w:val="21"/>
      <w:lang w:val="en-US" w:eastAsia="zh-CN" w:bidi="ar-SA"/>
    </w:rPr>
  </w:style>
  <w:style w:type="paragraph" w:customStyle="1" w:styleId="26">
    <w:name w:val="样式4"/>
    <w:basedOn w:val="11"/>
    <w:next w:val="11"/>
    <w:qFormat/>
    <w:uiPriority w:val="0"/>
    <w:pPr>
      <w:spacing w:line="500" w:lineRule="exact"/>
      <w:ind w:firstLine="200" w:firstLineChars="200"/>
    </w:pPr>
    <w:rPr>
      <w:rFonts w:cs="Courier New"/>
      <w:b/>
      <w:color w:val="FF0000"/>
      <w:spacing w:val="-6"/>
      <w:kern w:val="0"/>
      <w:sz w:val="30"/>
      <w:szCs w:val="30"/>
    </w:rPr>
  </w:style>
  <w:style w:type="character" w:customStyle="1" w:styleId="27">
    <w:name w:val="bds_more"/>
    <w:basedOn w:val="17"/>
    <w:qFormat/>
    <w:uiPriority w:val="0"/>
  </w:style>
  <w:style w:type="character" w:customStyle="1" w:styleId="28">
    <w:name w:val="bds_nopic"/>
    <w:basedOn w:val="17"/>
    <w:qFormat/>
    <w:uiPriority w:val="0"/>
  </w:style>
  <w:style w:type="character" w:customStyle="1" w:styleId="29">
    <w:name w:val="bds_nopic1"/>
    <w:basedOn w:val="17"/>
    <w:qFormat/>
    <w:uiPriority w:val="0"/>
  </w:style>
  <w:style w:type="character" w:customStyle="1" w:styleId="30">
    <w:name w:val="bds_nopic2"/>
    <w:basedOn w:val="17"/>
    <w:qFormat/>
    <w:uiPriority w:val="0"/>
  </w:style>
  <w:style w:type="character" w:customStyle="1" w:styleId="31">
    <w:name w:val="current"/>
    <w:basedOn w:val="17"/>
    <w:qFormat/>
    <w:uiPriority w:val="0"/>
    <w:rPr>
      <w:b/>
      <w:color w:val="666666"/>
      <w:bdr w:val="single" w:color="E0E0E0" w:sz="6" w:space="0"/>
      <w:shd w:val="clear" w:fill="F0F0F0"/>
    </w:rPr>
  </w:style>
  <w:style w:type="character" w:customStyle="1" w:styleId="32">
    <w:name w:val="disabled"/>
    <w:basedOn w:val="17"/>
    <w:qFormat/>
    <w:uiPriority w:val="0"/>
    <w:rPr>
      <w:color w:val="CCCCCC"/>
      <w:bdr w:val="single" w:color="DBDADA" w:sz="6" w:space="0"/>
    </w:rPr>
  </w:style>
  <w:style w:type="character" w:customStyle="1" w:styleId="33">
    <w:name w:val="tab_active"/>
    <w:basedOn w:val="17"/>
    <w:qFormat/>
    <w:uiPriority w:val="0"/>
    <w:rPr>
      <w:color w:val="666666"/>
    </w:rPr>
  </w:style>
  <w:style w:type="character" w:customStyle="1" w:styleId="34">
    <w:name w:val="current2"/>
    <w:basedOn w:val="1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1713</Words>
  <Characters>1785</Characters>
  <Lines>0</Lines>
  <Paragraphs>0</Paragraphs>
  <TotalTime>7</TotalTime>
  <ScaleCrop>false</ScaleCrop>
  <LinksUpToDate>false</LinksUpToDate>
  <CharactersWithSpaces>1791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Administrator</cp:lastModifiedBy>
  <dcterms:modified xsi:type="dcterms:W3CDTF">2023-08-04T02:56:28Z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94D68A1A2BAA4D88B8E1D5E94F87C7FD</vt:lpwstr>
  </property>
</Properties>
</file>