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3年投资超1000亿，重庆城投集团为城市建设“压舱顶梁”</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来源：上游新闻</w:t>
      </w:r>
    </w:p>
    <w:p>
      <w:pPr>
        <w:pStyle w:val="9"/>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今年以来，重庆城投集团全面贯彻落实“抓项目稳投资”专项行动方案，促进有效投资扩量提质增效，实现一季度“开门红”。截至3月底，集团完成市政基础设施投资29.77亿元，为全年目标的20.54%，同比增长27.62%。实现利润总额3.36亿元，同比增长10.52%。集团市政基础设施投资和利润总额同比增幅在市属重点国企中均排名靠前。</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近三年来，重庆城投集团已累计投资超1000亿元，用于重庆城市基础设施建设和城市更新提升等，为城市建设“压舱顶梁”。</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主城都市区建设板块，近三年共完成投资670.5亿元，建设市级重点项目38个，实现净利润42.9亿元，上交利税59亿元，集团资产负债率由2017年的44%下降至2022年底的31%，信用连续15年评级维持AAA级。其中在2022年，完成市政基础设施建设等投资255.4亿元，同比增长27.6%。其中重大市政道路项目完成投资量占主城区市政道路投资总量的35.5%；实现净利润15.7亿元，同比增长10.7%；净资产1209亿元，同比增长8.7%。</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围绕成渝地区双城经济圈建设和服务区县发展，重庆城投集团以市场化方式（PPP模式）投资105亿元到西部（重庆）科学城璧山片区曙光湖智造城基础设施建设，投资85亿元建设重庆首条融城通道——两江新区至长寿快速通道项目，投资17亿元助力巫山县绿色转型发展及新型城镇化PPP项目。同时，还对接永川、荣昌、黔江、四川广安等地基础设施建设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lang w:val="en-US" w:eastAsia="zh-CN"/>
        </w:rPr>
      </w:pPr>
      <w:r>
        <w:rPr>
          <w:rFonts w:hint="eastAsia" w:ascii="宋体" w:hAnsi="宋体" w:eastAsia="宋体" w:cs="宋体"/>
          <w:snapToGrid w:val="0"/>
          <w:color w:val="000000"/>
          <w:kern w:val="0"/>
          <w:sz w:val="24"/>
          <w:szCs w:val="24"/>
          <w:lang w:val="en-US" w:eastAsia="zh-CN" w:bidi="ar-SA"/>
        </w:rPr>
        <w:t>此外，重庆城投集团还筹资了200多亿元维护地方国企信用和金融市场稳定。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西安城投IOC项目，助力集团数字化转型、高质量发展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西安城投集团官网</w:t>
      </w:r>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月，由中国电子学会主办的“2023第二届中国云计算和大数据技术与应用大会”在北京召开。西安城投集团大数据公司申报的“西安城投集团智能运行中心（IOC）系统项目”荣获“年度优秀实践案例”奖项，并入选《会议指南暨案例汇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中国电子学会是全国5A级学术类社会团体，本次大会以“适应新形势 贯彻新理念 促进新发展”为主题，中国工程院院士沈昌祥、倪光南出席大会并做院士专题报告。同时，会议还以权威专家政策解读、应用侧案例分享、服务侧方案推广、高端对话、成果发布、联合倡议等多种形式开展。  </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2023年，西安城投集团提出打造五个城投，将“数字城投”提升到集团整体发展战略高度，并成立“数字城投”建设领导小组，全面推进民生服务数字化升级，加快全市数字基础设施建设，协同推进产业数字化和数字产业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集团信息化中心统筹指导下，西安城投大数据公司以西安城投集团智能运行中心（IOC）系统项目为切入点，全面拉开建设“数字城投”的序幕。经过一年的项目建设，城投IOC已建设成为集数据汇聚、可视化展示、指挥调度、分析研判等功能于一体的智能运行系统，初步实现了“大屏端、PC端、移动端”3端融合和“一屏观全域、一屏管全局”，在集团管理提升、降本增效、安全管控等方面发挥了积极作用。</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西安城投IOC的初步建成迈出了“数字城投”建设的第一步。下一步，西安城投大数据公司将继续推动“数字城投”建设，在扩大应用范围、提升应用效果、推动数据共享等方面深入探索，进一步激发数字潜能、彰显城投智慧、提升服务温度，助力集团数字化转型、高质量发展，支撑全市数字经济做优做大。</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bookmarkStart w:id="0" w:name="_GoBack"/>
      <w:bookmarkEnd w:id="0"/>
      <w:r>
        <w:rPr>
          <w:rFonts w:hint="eastAsia" w:ascii="宋体" w:hAnsi="宋体" w:cs="宋体"/>
          <w:snapToGrid w:val="0"/>
          <w:color w:val="000000"/>
          <w:kern w:val="0"/>
          <w:sz w:val="24"/>
          <w:szCs w:val="24"/>
          <w:lang w:val="en-US" w:eastAsia="zh-CN" w:bidi="ar-SA"/>
        </w:rPr>
        <w:t>4</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3D7078A2"/>
    <w:rsid w:val="4247545C"/>
    <w:rsid w:val="42D84824"/>
    <w:rsid w:val="43215475"/>
    <w:rsid w:val="441A3D4C"/>
    <w:rsid w:val="44FD6564"/>
    <w:rsid w:val="467D421D"/>
    <w:rsid w:val="480B25EE"/>
    <w:rsid w:val="4890330D"/>
    <w:rsid w:val="48D21008"/>
    <w:rsid w:val="4CEB02D2"/>
    <w:rsid w:val="4D227684"/>
    <w:rsid w:val="4D392193"/>
    <w:rsid w:val="53410626"/>
    <w:rsid w:val="53730655"/>
    <w:rsid w:val="54D61B74"/>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3DF48F8"/>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next w:val="1"/>
    <w:qFormat/>
    <w:uiPriority w:val="0"/>
    <w:pPr>
      <w:ind w:firstLine="964" w:firstLineChars="200"/>
    </w:pPr>
    <w:rPr>
      <w:sz w:val="28"/>
    </w:rPr>
  </w:style>
  <w:style w:type="paragraph" w:styleId="6">
    <w:name w:val="Body Text"/>
    <w:basedOn w:val="1"/>
    <w:next w:val="7"/>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7">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Body Text Indent"/>
    <w:basedOn w:val="1"/>
    <w:next w:val="9"/>
    <w:qFormat/>
    <w:uiPriority w:val="0"/>
    <w:pPr>
      <w:ind w:left="420" w:leftChars="200"/>
    </w:pPr>
    <w:rPr>
      <w:kern w:val="2"/>
      <w:sz w:val="21"/>
      <w:szCs w:val="24"/>
    </w:rPr>
  </w:style>
  <w:style w:type="paragraph" w:styleId="9">
    <w:name w:val="Body Text First Indent 2"/>
    <w:basedOn w:val="8"/>
    <w:next w:val="1"/>
    <w:qFormat/>
    <w:uiPriority w:val="0"/>
    <w:pPr>
      <w:widowControl w:val="0"/>
      <w:ind w:firstLine="420"/>
      <w:jc w:val="both"/>
    </w:pPr>
    <w:rPr>
      <w:kern w:val="2"/>
      <w:sz w:val="21"/>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6">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7">
    <w:name w:val="bds_more"/>
    <w:basedOn w:val="17"/>
    <w:qFormat/>
    <w:uiPriority w:val="0"/>
  </w:style>
  <w:style w:type="character" w:customStyle="1" w:styleId="28">
    <w:name w:val="bds_nopic"/>
    <w:basedOn w:val="17"/>
    <w:qFormat/>
    <w:uiPriority w:val="0"/>
  </w:style>
  <w:style w:type="character" w:customStyle="1" w:styleId="29">
    <w:name w:val="bds_nopic1"/>
    <w:basedOn w:val="17"/>
    <w:qFormat/>
    <w:uiPriority w:val="0"/>
  </w:style>
  <w:style w:type="character" w:customStyle="1" w:styleId="30">
    <w:name w:val="bds_nopic2"/>
    <w:basedOn w:val="17"/>
    <w:qFormat/>
    <w:uiPriority w:val="0"/>
  </w:style>
  <w:style w:type="character" w:customStyle="1" w:styleId="31">
    <w:name w:val="current"/>
    <w:basedOn w:val="17"/>
    <w:qFormat/>
    <w:uiPriority w:val="0"/>
    <w:rPr>
      <w:b/>
      <w:color w:val="666666"/>
      <w:bdr w:val="single" w:color="E0E0E0" w:sz="6" w:space="0"/>
      <w:shd w:val="clear" w:fill="F0F0F0"/>
    </w:rPr>
  </w:style>
  <w:style w:type="character" w:customStyle="1" w:styleId="32">
    <w:name w:val="disabled"/>
    <w:basedOn w:val="17"/>
    <w:qFormat/>
    <w:uiPriority w:val="0"/>
    <w:rPr>
      <w:color w:val="CCCCCC"/>
      <w:bdr w:val="single" w:color="DBDADA" w:sz="6" w:space="0"/>
    </w:rPr>
  </w:style>
  <w:style w:type="character" w:customStyle="1" w:styleId="33">
    <w:name w:val="tab_active"/>
    <w:basedOn w:val="17"/>
    <w:qFormat/>
    <w:uiPriority w:val="0"/>
    <w:rPr>
      <w:color w:val="666666"/>
    </w:rPr>
  </w:style>
  <w:style w:type="character" w:customStyle="1" w:styleId="34">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4</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2023-08-04T02:45:07Z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